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t>UE4 SDK简单使用说明</w:t>
      </w:r>
    </w:p>
    <w:p>
      <w:pPr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t xml:space="preserve">                                                              2021-</w:t>
      </w:r>
      <w:r>
        <w:rPr>
          <w:rFonts w:hint="eastAsia" w:ascii="Times New Roman" w:hAnsi="Times New Roman" w:eastAsia="宋体" w:cs="Times New Roman"/>
          <w:lang w:val="en-US" w:eastAsia="zh-CN"/>
        </w:rPr>
        <w:t>11</w:t>
      </w:r>
      <w:r>
        <w:rPr>
          <w:rFonts w:hint="default" w:ascii="Times New Roman" w:hAnsi="Times New Roman" w:eastAsia="宋体" w:cs="Times New Roman"/>
          <w:lang w:val="en-US" w:eastAsia="zh-CN"/>
        </w:rPr>
        <w:t>-</w:t>
      </w:r>
      <w:r>
        <w:rPr>
          <w:rFonts w:hint="eastAsia" w:ascii="Times New Roman" w:hAnsi="Times New Roman" w:eastAsia="宋体" w:cs="Times New Roman"/>
          <w:lang w:val="en-US" w:eastAsia="zh-CN"/>
        </w:rPr>
        <w:t>30</w:t>
      </w:r>
      <w:r>
        <w:rPr>
          <w:rFonts w:hint="default" w:ascii="Times New Roman" w:hAnsi="Times New Roman" w:eastAsia="宋体" w:cs="Times New Roman"/>
          <w:lang w:val="en-US" w:eastAsia="zh-CN"/>
        </w:rPr>
        <w:t xml:space="preserve"> 杨天琦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ascii="Times New Roman" w:hAnsi="Times New Roman" w:eastAsia="宋体" w:cs="Times New Roman"/>
          <w:color w:val="FF0000"/>
          <w:sz w:val="21"/>
          <w:szCs w:val="21"/>
          <w:u w:val="single"/>
          <w:lang w:val="en-US" w:eastAsia="zh-CN"/>
        </w:rPr>
      </w:pPr>
      <w:r>
        <w:rPr>
          <w:rFonts w:hint="default" w:ascii="Times New Roman" w:hAnsi="Times New Roman" w:eastAsia="宋体" w:cs="Times New Roman"/>
          <w:color w:val="FF0000"/>
          <w:sz w:val="21"/>
          <w:szCs w:val="21"/>
          <w:u w:val="single"/>
          <w:lang w:val="en-US" w:eastAsia="zh-CN"/>
        </w:rPr>
        <w:t>使用前建议电脑安装有VC++（2015-2019）程序，同时将Tosystem32压缩文件下的5个Dll文件复制至C:\Windows\System32路径下。</w:t>
      </w:r>
    </w:p>
    <w:p>
      <w:pPr>
        <w:pStyle w:val="6"/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一、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该SDK版本适用于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4.26.2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 xml:space="preserve"> ，若想换成其他版本的需重新编译，操作如下：</w:t>
      </w:r>
    </w:p>
    <w:p>
      <w:pPr>
        <w:pStyle w:val="6"/>
        <w:numPr>
          <w:ilvl w:val="0"/>
          <w:numId w:val="0"/>
        </w:numPr>
        <w:ind w:left="420" w:leftChars="0"/>
        <w:jc w:val="left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</w:rPr>
        <w:t>①</w:t>
      </w:r>
      <w:r>
        <w:rPr>
          <w:rFonts w:hint="default" w:ascii="Times New Roman" w:hAnsi="Times New Roman" w:eastAsia="宋体" w:cs="Times New Roman"/>
          <w:lang w:val="en-US" w:eastAsia="zh-CN"/>
        </w:rPr>
        <w:t>打开想要使用版本的UE4</w:t>
      </w:r>
    </w:p>
    <w:p>
      <w:pPr>
        <w:pStyle w:val="6"/>
        <w:numPr>
          <w:ilvl w:val="0"/>
          <w:numId w:val="0"/>
        </w:numPr>
        <w:ind w:left="420" w:leftChars="0"/>
        <w:jc w:val="left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2879725" cy="963295"/>
            <wp:effectExtent l="0" t="0" r="15875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left="420" w:leftChars="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②新建一个新的C++工程</w:t>
      </w:r>
    </w:p>
    <w:p>
      <w:pPr>
        <w:pStyle w:val="6"/>
        <w:jc w:val="both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2879725" cy="2008505"/>
            <wp:effectExtent l="0" t="0" r="15875" b="1079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left="420" w:left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t>③重新编译一次</w:t>
      </w:r>
    </w:p>
    <w:p>
      <w:pPr>
        <w:jc w:val="left"/>
        <w:rPr>
          <w:rFonts w:hint="default"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 xml:space="preserve">    </w:t>
      </w: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2879725" cy="2132965"/>
            <wp:effectExtent l="0" t="0" r="15875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 xml:space="preserve">    </w:t>
      </w: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1800225" cy="388620"/>
            <wp:effectExtent l="0" t="0" r="9525" b="1143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left="420" w:leftChars="0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</w:rPr>
        <w:t>④编译完成之后插件就变成了对应版本的SDK插件</w:t>
      </w:r>
      <w:r>
        <w:rPr>
          <w:rFonts w:hint="eastAsia" w:ascii="Times New Roman" w:hAnsi="Times New Roman" w:eastAsia="宋体" w:cs="Times New Roman"/>
          <w:lang w:eastAsia="zh-CN"/>
        </w:rPr>
        <w:t>，</w:t>
      </w:r>
      <w:r>
        <w:rPr>
          <w:rFonts w:hint="eastAsia" w:ascii="Times New Roman" w:hAnsi="Times New Roman" w:eastAsia="宋体" w:cs="Times New Roman"/>
          <w:lang w:val="en-US" w:eastAsia="zh-CN"/>
        </w:rPr>
        <w:t>然后即可将插件放到对应项目的工程文件下。</w:t>
      </w:r>
    </w:p>
    <w:p>
      <w:pPr>
        <w:pStyle w:val="6"/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二、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工程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文件目录下创建Plugins文件夹，并将对应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版本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的SDK插件放入文件夹中</w:t>
      </w:r>
    </w:p>
    <w:p>
      <w:pPr>
        <w:pStyle w:val="6"/>
        <w:ind w:left="360" w:firstLine="0" w:firstLineChars="0"/>
        <w:jc w:val="left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4596130" cy="1238885"/>
            <wp:effectExtent l="0" t="0" r="1397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4578985" cy="2414270"/>
            <wp:effectExtent l="0" t="0" r="1206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三、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打开自身的Pawn类，将其父类改成Character类（以便于模拟碰撞等，用户也可以自己新建一个Character类），并且在目录下加一个Arrow（这是模拟行走的方向）</w:t>
      </w:r>
    </w:p>
    <w:p>
      <w:pPr>
        <w:pStyle w:val="6"/>
        <w:ind w:left="360" w:firstLine="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2160270" cy="790575"/>
            <wp:effectExtent l="0" t="0" r="1143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4319905" cy="377825"/>
            <wp:effectExtent l="0" t="0" r="444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4518025" cy="2339975"/>
            <wp:effectExtent l="0" t="0" r="1587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802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四、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 xml:space="preserve">在BeginPlay中添加一个分支，并且定义一个变量来存储旋转杆的旋转值 </w:t>
      </w:r>
    </w:p>
    <w:p>
      <w:pPr>
        <w:pStyle w:val="6"/>
        <w:ind w:left="360" w:firstLine="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2621280" cy="1979930"/>
            <wp:effectExtent l="0" t="0" r="762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1887220" cy="1979930"/>
            <wp:effectExtent l="0" t="0" r="1778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五、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在Tick中添加一个分支，进行人物的移动（依据旋转杆的方向进行移动，包括前进，后退），旋转（按照旋转杆旋转）</w:t>
      </w:r>
    </w:p>
    <w:p>
      <w:pPr>
        <w:pStyle w:val="6"/>
        <w:ind w:left="360" w:firstLine="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1707515" cy="1440180"/>
            <wp:effectExtent l="0" t="0" r="698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t>（Kat Move是一个自定义的方法，方法具体实现如下）</w:t>
      </w:r>
    </w:p>
    <w:p>
      <w:pPr>
        <w:pStyle w:val="6"/>
        <w:ind w:left="360" w:firstLine="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5318760" cy="1979930"/>
            <wp:effectExtent l="0" t="0" r="152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t>解析</w:t>
      </w:r>
    </w:p>
    <w:p>
      <w:pPr>
        <w:pStyle w:val="6"/>
        <w:ind w:left="360" w:firstLine="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3980815" cy="2160270"/>
            <wp:effectExtent l="0" t="0" r="635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t>设置前进的方向</w:t>
      </w:r>
    </w:p>
    <w:p>
      <w:pPr>
        <w:pStyle w:val="6"/>
        <w:ind w:left="360" w:firstLine="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4679950" cy="1840865"/>
            <wp:effectExtent l="0" t="0" r="635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1730375" cy="1800225"/>
            <wp:effectExtent l="0" t="0" r="317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left="0" w:leftChars="0" w:firstLine="0" w:firstLineChars="0"/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关于震动模块的引用</w:t>
      </w:r>
    </w:p>
    <w:p>
      <w:pPr>
        <w:pStyle w:val="6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171A1D"/>
          <w:spacing w:val="0"/>
          <w:sz w:val="24"/>
          <w:szCs w:val="24"/>
          <w:shd w:val="clear" w:fill="FFFFFF"/>
        </w:rPr>
        <w:t>蓝图开发中多了一个震动模块的节点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171A1D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171A1D"/>
          <w:spacing w:val="0"/>
          <w:sz w:val="24"/>
          <w:szCs w:val="24"/>
          <w:shd w:val="clear" w:fill="FFFFFF"/>
        </w:rPr>
        <w:t>Level是震动等级，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171A1D"/>
          <w:spacing w:val="0"/>
          <w:sz w:val="24"/>
          <w:szCs w:val="24"/>
          <w:shd w:val="clear" w:fill="FFFFFF"/>
          <w:lang w:val="en-US" w:eastAsia="zh-CN"/>
        </w:rPr>
        <w:t>最大为5级，超过5级依旧为5震动；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171A1D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171A1D"/>
          <w:spacing w:val="0"/>
          <w:sz w:val="24"/>
          <w:szCs w:val="24"/>
          <w:shd w:val="clear" w:fill="FFFFFF"/>
        </w:rPr>
        <w:t>Duration是震动时长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171A1D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171A1D"/>
          <w:spacing w:val="0"/>
          <w:sz w:val="24"/>
          <w:szCs w:val="24"/>
          <w:shd w:val="clear" w:fill="FFFFFF"/>
          <w:lang w:val="en-US" w:eastAsia="zh-CN"/>
        </w:rPr>
        <w:t>最大为3000ms，超过3000ms依然为3000ms震动。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171A1D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171A1D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171A1D"/>
          <w:spacing w:val="0"/>
          <w:sz w:val="24"/>
          <w:szCs w:val="24"/>
          <w:shd w:val="clear" w:fill="FFFFFF"/>
        </w:rPr>
        <w:t>KATVibrator类中有一个Haptic_Module_Control方法</w:t>
      </w:r>
    </w:p>
    <w:p>
      <w:pPr>
        <w:pStyle w:val="6"/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七、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新建一个GameModel修改其中的Pawn类，并将其指定给默认的GameModel Override</w:t>
      </w:r>
    </w:p>
    <w:p>
      <w:pPr>
        <w:pStyle w:val="6"/>
        <w:ind w:left="360" w:firstLine="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2215515" cy="1800225"/>
            <wp:effectExtent l="0" t="0" r="1333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rPr>
          <w:rFonts w:hint="default" w:ascii="Times New Roman" w:hAnsi="Times New Roman" w:eastAsia="宋体" w:cs="Times New Roman"/>
        </w:rPr>
      </w:pPr>
    </w:p>
    <w:p>
      <w:pPr>
        <w:pStyle w:val="6"/>
        <w:ind w:left="360" w:firstLine="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2023110" cy="1800225"/>
            <wp:effectExtent l="0" t="0" r="152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3110230" cy="2520315"/>
            <wp:effectExtent l="0" t="0" r="13970" b="133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1023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八、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做完以上内容就可以实现基本的移动，为了方便调试可以在Pawn类中添加以下几个节点</w:t>
      </w:r>
    </w:p>
    <w:p>
      <w:pPr>
        <w:pStyle w:val="6"/>
        <w:ind w:left="360" w:firstLine="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3704590" cy="5599430"/>
            <wp:effectExtent l="0" t="0" r="1016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04762" cy="5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九、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打包前先设置</w:t>
      </w:r>
    </w:p>
    <w:p>
      <w:pPr>
        <w:pStyle w:val="6"/>
        <w:ind w:left="360" w:firstLine="0" w:firstLineChars="0"/>
        <w:rPr>
          <w:rFonts w:hint="default" w:ascii="Times New Roman" w:hAnsi="Times New Roman" w:eastAsia="宋体" w:cs="Times New Roman"/>
          <w:color w:val="FF0000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FF0000"/>
          <w:sz w:val="21"/>
          <w:szCs w:val="21"/>
        </w:rPr>
        <w:t>注意：打包文件夹的所有路径统一不能有中文名，否则会打包错误！</w:t>
      </w:r>
    </w:p>
    <w:p>
      <w:pPr>
        <w:pStyle w:val="6"/>
        <w:ind w:left="360" w:firstLine="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3037840" cy="3133090"/>
            <wp:effectExtent l="0" t="0" r="10160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38095" cy="3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5605780" cy="5039995"/>
            <wp:effectExtent l="0" t="0" r="1397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十、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打包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需要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将插件放到对应的文件夹下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这里以4.18.3版本为例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eastAsia="zh-CN"/>
        </w:rPr>
        <w:t>）</w:t>
      </w:r>
    </w:p>
    <w:p>
      <w:pPr>
        <w:pStyle w:val="6"/>
        <w:ind w:left="360" w:firstLine="0" w:firstLineChars="0"/>
        <w:jc w:val="left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4486275" cy="2520315"/>
            <wp:effectExtent l="0" t="0" r="9525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89"/>
        </w:tabs>
        <w:jc w:val="left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tab/>
      </w:r>
      <w:r>
        <w:rPr>
          <w:rFonts w:hint="eastAsia" w:ascii="Times New Roman" w:hAnsi="Times New Roman" w:eastAsia="宋体" w:cs="Times New Roman"/>
          <w:lang w:val="en-US" w:eastAsia="zh-CN"/>
        </w:rPr>
        <w:t xml:space="preserve">         </w:t>
      </w: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5903595" cy="1800225"/>
            <wp:effectExtent l="0" t="0" r="190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89"/>
        </w:tabs>
        <w:jc w:val="left"/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如果需要技术支持请联系我们</w:t>
      </w:r>
    </w:p>
    <w:p>
      <w:pPr>
        <w:tabs>
          <w:tab w:val="left" w:pos="2389"/>
        </w:tabs>
        <w:jc w:val="left"/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官网：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fldChar w:fldCharType="begin"/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instrText xml:space="preserve"> HYPERLINK "http://www.katvr.com" </w:instrTex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fldChar w:fldCharType="separate"/>
      </w:r>
      <w:r>
        <w:rPr>
          <w:rStyle w:val="5"/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www.katvr.com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fldChar w:fldCharType="end"/>
      </w:r>
    </w:p>
    <w:p>
      <w:pPr>
        <w:tabs>
          <w:tab w:val="left" w:pos="2389"/>
        </w:tabs>
        <w:jc w:val="left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邮箱：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fldChar w:fldCharType="begin"/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instrText xml:space="preserve"> HYPERLINK "mailto:tianqi@katvr.com" </w:instrTex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fldChar w:fldCharType="separate"/>
      </w:r>
      <w:r>
        <w:rPr>
          <w:rStyle w:val="5"/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tianqi@katvr.com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fldChar w:fldCharType="end"/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 或者 service@katvr.com</w:t>
      </w:r>
    </w:p>
    <w:p>
      <w:pPr>
        <w:tabs>
          <w:tab w:val="left" w:pos="2389"/>
        </w:tabs>
        <w:jc w:val="left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87B8A0"/>
    <w:multiLevelType w:val="singleLevel"/>
    <w:tmpl w:val="0987B8A0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FA3B1C"/>
    <w:rsid w:val="4E78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semiHidden/>
    <w:unhideWhenUsed/>
    <w:qFormat/>
    <w:uiPriority w:val="99"/>
    <w:rPr>
      <w:color w:val="0000FF"/>
      <w:u w:val="single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2021-11-30T05:51:56Z</dcterms:created>
  <dc:creator>Administrator</dc:creator>
  <cp:lastModifiedBy>欧太安</cp:lastModifiedBy>
  <dcterms:modified xsi:type="dcterms:W3CDTF">2021-11-30T06:13:43Z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396A577AD0FD4F49A53A4F08C02E5ABE</vt:lpwstr>
  </property>
</Properties>
</file>